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pPr>
      <w:r>
        <w:rPr>
          <w:rFonts w:ascii="Palatino Linotype" w:cs="Palatino Linotype" w:eastAsia="Palatino Linotype" w:hAnsi="Palatino Linotype"/>
          <w:b w:val="false"/>
          <w:bCs w:val="false"/>
          <w:color w:val="1A1A18"/>
          <w:sz w:val="64"/>
          <w:szCs w:val="64"/>
        </w:rPr>
        <w:t xml:space="preserve">Marcos </w:t>
      </w:r>
      <w:r>
        <w:rPr>
          <w:rFonts w:ascii="Palatino Linotype" w:cs="Palatino Linotype" w:eastAsia="Palatino Linotype" w:hAnsi="Palatino Linotype"/>
          <w:b w:val="false"/>
          <w:bCs w:val="false"/>
          <w:i/>
          <w:iCs/>
          <w:color w:val="9A7A3A"/>
          <w:sz w:val="64"/>
          <w:szCs w:val="64"/>
        </w:rPr>
        <w:t xml:space="preserve">Muller-Habig</w:t>
      </w:r>
    </w:p>
    <w:p>
      <w:pPr>
        <w:spacing w:before="0" w:after="30"/>
      </w:pPr>
      <w:r>
        <w:rPr>
          <w:rFonts w:ascii="Calibri" w:cs="Calibri" w:eastAsia="Calibri" w:hAnsi="Calibri"/>
          <w:color w:val="6A6058"/>
          <w:spacing w:val="20"/>
          <w:sz w:val="20"/>
          <w:szCs w:val="20"/>
        </w:rPr>
        <w:t xml:space="preserve">Gaming Ecosystem Strategist  ·  Talent &amp; Workforce Developer  ·  Executive Speaker</w:t>
      </w:r>
    </w:p>
    <w:p>
      <w:pPr>
        <w:pBdr>
          <w:bottom w:val="single" w:color="9A7A3A" w:sz="8" w:space="1"/>
        </w:pBdr>
        <w:spacing w:before="0" w:after="0"/>
      </w:pPr>
    </w:p>
    <w:p>
      <w:pPr>
        <w:spacing w:before="40" w:after="0"/>
      </w:pPr>
    </w:p>
    <w:p>
      <w:pPr>
        <w:tabs>
          <w:tab w:val="center" w:pos="4680"/>
          <w:tab w:val="right" w:pos="9360"/>
        </w:tabs>
        <w:spacing w:before="0" w:after="0"/>
      </w:pPr>
      <w:r>
        <w:rPr>
          <w:rFonts w:ascii="Calibri" w:cs="Calibri" w:eastAsia="Calibri" w:hAnsi="Calibri"/>
          <w:color w:val="6A6058"/>
          <w:sz w:val="18"/>
          <w:szCs w:val="18"/>
        </w:rPr>
        <w:t xml:space="preserve">marcos@mullerhabig.com</w:t>
      </w:r>
      <w:r>
        <w:rPr>
          <w:rFonts w:ascii="Calibri" w:cs="Calibri" w:eastAsia="Calibri" w:hAnsi="Calibri"/>
          <w:sz w:val="18"/>
          <w:szCs w:val="18"/>
        </w:rPr>
        <w:t xml:space="preserve">	</w:t>
      </w:r>
      <w:r>
        <w:rPr>
          <w:rFonts w:ascii="Calibri" w:cs="Calibri" w:eastAsia="Calibri" w:hAnsi="Calibri"/>
          <w:color w:val="6A6058"/>
          <w:sz w:val="18"/>
          <w:szCs w:val="18"/>
        </w:rPr>
        <w:t xml:space="preserve">mullerhabig.com  ·  linkedin.com/in/mmhabig</w:t>
      </w:r>
      <w:r>
        <w:rPr>
          <w:rFonts w:ascii="Calibri" w:cs="Calibri" w:eastAsia="Calibri" w:hAnsi="Calibri"/>
          <w:sz w:val="18"/>
          <w:szCs w:val="18"/>
        </w:rPr>
        <w:t xml:space="preserve">	</w:t>
      </w:r>
      <w:r>
        <w:rPr>
          <w:rFonts w:ascii="Calibri" w:cs="Calibri" w:eastAsia="Calibri" w:hAnsi="Calibri"/>
          <w:color w:val="6A6058"/>
          <w:sz w:val="18"/>
          <w:szCs w:val="18"/>
        </w:rPr>
        <w:t xml:space="preserve">Abu Dhabi, UAE  ·  U.S. work authorization available</w:t>
      </w:r>
    </w:p>
    <w:p>
      <w:pPr>
        <w:spacing w:before="80" w:after="0"/>
      </w:pPr>
    </w:p>
    <w:p>
      <w:pPr>
        <w:spacing w:before="160" w:after="0"/>
      </w:pPr>
    </w:p>
    <w:p>
      <w:pPr>
        <w:spacing w:before="0" w:after="60"/>
      </w:pPr>
      <w:r>
        <w:rPr>
          <w:rFonts w:ascii="Calibri" w:cs="Calibri" w:eastAsia="Calibri" w:hAnsi="Calibri"/>
          <w:b/>
          <w:bCs/>
          <w:color w:val="9A7A3A"/>
          <w:spacing w:val="80"/>
          <w:sz w:val="18"/>
          <w:szCs w:val="18"/>
        </w:rPr>
        <w:t xml:space="preserve">PROFESSIONAL SUMMARY</w:t>
      </w:r>
    </w:p>
    <w:p>
      <w:pPr>
        <w:pBdr>
          <w:bottom w:val="single" w:color="D4C9A8" w:sz="4" w:space="1"/>
        </w:pBdr>
        <w:spacing w:before="0" w:after="0"/>
      </w:pPr>
    </w:p>
    <w:p>
      <w:pPr>
        <w:spacing w:before="60" w:after="0"/>
      </w:pPr>
    </w:p>
    <w:p>
      <w:pPr>
        <w:spacing w:before="0" w:after="60"/>
      </w:pPr>
      <w:r>
        <w:rPr>
          <w:rFonts w:ascii="Calibri" w:cs="Calibri" w:eastAsia="Calibri" w:hAnsi="Calibri"/>
          <w:color w:val="1A1A18"/>
          <w:sz w:val="20"/>
          <w:szCs w:val="20"/>
        </w:rPr>
        <w:t xml:space="preserve">Director-level executive with fifteen years building gaming ecosystems, talent pipelines, and creative economy programs from the ground up, with direct accountability to national GDP targets. At Abu Dhabi Gaming, led the creation of a 100-company industry network, placed 150+ people into gaming industry careers, and launched the region's first gaming bachelor's degree. Previously served as CEO and CTO of 42 Abu Dhabi, a peer-to-peer coding school where the campus became the first accredited institution in the 42 Network globally (50+ campuses, 27 countries), with the inaugural cohort achieving a 100% employment rate. LBS Executive MBA graduate (2025). Combines government-scale program execution with entrepreneurial instincts and a track record of building what didn't previously exist.</w:t>
      </w:r>
    </w:p>
    <w:p>
      <w:pPr>
        <w:spacing w:before="160" w:after="0"/>
      </w:pPr>
    </w:p>
    <w:p>
      <w:pPr>
        <w:spacing w:before="0" w:after="60"/>
      </w:pPr>
      <w:r>
        <w:rPr>
          <w:rFonts w:ascii="Calibri" w:cs="Calibri" w:eastAsia="Calibri" w:hAnsi="Calibri"/>
          <w:b/>
          <w:bCs/>
          <w:color w:val="9A7A3A"/>
          <w:spacing w:val="80"/>
          <w:sz w:val="18"/>
          <w:szCs w:val="18"/>
        </w:rPr>
        <w:t xml:space="preserve">CORE COMPETENCIES</w:t>
      </w:r>
    </w:p>
    <w:p>
      <w:pPr>
        <w:pBdr>
          <w:bottom w:val="single" w:color="D4C9A8" w:sz="4" w:space="1"/>
        </w:pBdr>
        <w:spacing w:before="0" w:after="0"/>
      </w:pP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none" w:color="FFFFFF" w:sz="0"/>
              <w:left w:val="none" w:color="FFFFFF" w:sz="0"/>
              <w:bottom w:val="none" w:color="FFFFFF" w:sz="0"/>
              <w:right w:val="none" w:color="FFFFFF" w:sz="0"/>
            </w:tcBorders>
          </w:tcPr>
          <w:p>
            <w:pPr>
              <w:spacing w:before="20" w:after="20"/>
            </w:pPr>
            <w:r>
              <w:rPr>
                <w:rFonts w:ascii="Calibri" w:cs="Calibri" w:eastAsia="Calibri" w:hAnsi="Calibri"/>
                <w:color w:val="1A1A18"/>
                <w:sz w:val="19"/>
                <w:szCs w:val="19"/>
              </w:rPr>
              <w:t xml:space="preserve">Gaming Ecosystem Development</w:t>
            </w:r>
          </w:p>
        </w:tc>
        <w:tc>
          <w:tcPr>
            <w:tcW w:type="dxa" w:w="3120"/>
            <w:tcBorders>
              <w:top w:val="none" w:color="FFFFFF" w:sz="0"/>
              <w:left w:val="none" w:color="FFFFFF" w:sz="0"/>
              <w:bottom w:val="none" w:color="FFFFFF" w:sz="0"/>
              <w:right w:val="none" w:color="FFFFFF" w:sz="0"/>
            </w:tcBorders>
          </w:tcPr>
          <w:p>
            <w:pPr>
              <w:spacing w:before="20" w:after="20"/>
            </w:pPr>
            <w:r>
              <w:rPr>
                <w:rFonts w:ascii="Calibri" w:cs="Calibri" w:eastAsia="Calibri" w:hAnsi="Calibri"/>
                <w:color w:val="1A1A18"/>
                <w:sz w:val="19"/>
                <w:szCs w:val="19"/>
              </w:rPr>
              <w:t xml:space="preserve">Talent Pipeline Design</w:t>
            </w:r>
          </w:p>
        </w:tc>
        <w:tc>
          <w:tcPr>
            <w:tcW w:type="dxa" w:w="3120"/>
            <w:tcBorders>
              <w:top w:val="none" w:color="FFFFFF" w:sz="0"/>
              <w:left w:val="none" w:color="FFFFFF" w:sz="0"/>
              <w:bottom w:val="none" w:color="FFFFFF" w:sz="0"/>
              <w:right w:val="none" w:color="FFFFFF" w:sz="0"/>
            </w:tcBorders>
          </w:tcPr>
          <w:p>
            <w:pPr>
              <w:spacing w:before="20" w:after="20"/>
            </w:pPr>
            <w:r>
              <w:rPr>
                <w:rFonts w:ascii="Calibri" w:cs="Calibri" w:eastAsia="Calibri" w:hAnsi="Calibri"/>
                <w:color w:val="1A1A18"/>
                <w:sz w:val="19"/>
                <w:szCs w:val="19"/>
              </w:rPr>
              <w:t xml:space="preserve">Esports Strategy &amp; Operations</w:t>
            </w:r>
          </w:p>
        </w:tc>
      </w:tr>
      <w:tr>
        <w:tc>
          <w:tcPr>
            <w:tcW w:type="dxa" w:w="3120"/>
            <w:tcBorders>
              <w:top w:val="none" w:color="FFFFFF" w:sz="0"/>
              <w:left w:val="none" w:color="FFFFFF" w:sz="0"/>
              <w:bottom w:val="none" w:color="FFFFFF" w:sz="0"/>
              <w:right w:val="none" w:color="FFFFFF" w:sz="0"/>
            </w:tcBorders>
          </w:tcPr>
          <w:p>
            <w:pPr>
              <w:spacing w:before="20" w:after="20"/>
            </w:pPr>
            <w:r>
              <w:rPr>
                <w:rFonts w:ascii="Calibri" w:cs="Calibri" w:eastAsia="Calibri" w:hAnsi="Calibri"/>
                <w:color w:val="1A1A18"/>
                <w:sz w:val="19"/>
                <w:szCs w:val="19"/>
              </w:rPr>
              <w:t xml:space="preserve">Economic Development &amp; GDP Impact</w:t>
            </w:r>
          </w:p>
        </w:tc>
        <w:tc>
          <w:tcPr>
            <w:tcW w:type="dxa" w:w="3120"/>
            <w:tcBorders>
              <w:top w:val="none" w:color="FFFFFF" w:sz="0"/>
              <w:left w:val="none" w:color="FFFFFF" w:sz="0"/>
              <w:bottom w:val="none" w:color="FFFFFF" w:sz="0"/>
              <w:right w:val="none" w:color="FFFFFF" w:sz="0"/>
            </w:tcBorders>
          </w:tcPr>
          <w:p>
            <w:pPr>
              <w:spacing w:before="20" w:after="20"/>
            </w:pPr>
            <w:r>
              <w:rPr>
                <w:rFonts w:ascii="Calibri" w:cs="Calibri" w:eastAsia="Calibri" w:hAnsi="Calibri"/>
                <w:color w:val="1A1A18"/>
                <w:sz w:val="19"/>
                <w:szCs w:val="19"/>
              </w:rPr>
              <w:t xml:space="preserve">Publisher &amp; Brand Partnerships</w:t>
            </w:r>
          </w:p>
        </w:tc>
        <w:tc>
          <w:tcPr>
            <w:tcW w:type="dxa" w:w="3120"/>
            <w:tcBorders>
              <w:top w:val="none" w:color="FFFFFF" w:sz="0"/>
              <w:left w:val="none" w:color="FFFFFF" w:sz="0"/>
              <w:bottom w:val="none" w:color="FFFFFF" w:sz="0"/>
              <w:right w:val="none" w:color="FFFFFF" w:sz="0"/>
            </w:tcBorders>
          </w:tcPr>
          <w:p>
            <w:pPr>
              <w:spacing w:before="20" w:after="20"/>
            </w:pPr>
            <w:r>
              <w:rPr>
                <w:rFonts w:ascii="Calibri" w:cs="Calibri" w:eastAsia="Calibri" w:hAnsi="Calibri"/>
                <w:color w:val="1A1A18"/>
                <w:sz w:val="19"/>
                <w:szCs w:val="19"/>
              </w:rPr>
              <w:t xml:space="preserve">Strategic Planning &amp; KPI Delivery</w:t>
            </w:r>
          </w:p>
        </w:tc>
      </w:tr>
      <w:tr>
        <w:tc>
          <w:tcPr>
            <w:tcW w:type="dxa" w:w="3120"/>
            <w:tcBorders>
              <w:top w:val="none" w:color="FFFFFF" w:sz="0"/>
              <w:left w:val="none" w:color="FFFFFF" w:sz="0"/>
              <w:bottom w:val="none" w:color="FFFFFF" w:sz="0"/>
              <w:right w:val="none" w:color="FFFFFF" w:sz="0"/>
            </w:tcBorders>
          </w:tcPr>
          <w:p>
            <w:pPr>
              <w:spacing w:before="20" w:after="20"/>
            </w:pPr>
            <w:r>
              <w:rPr>
                <w:rFonts w:ascii="Calibri" w:cs="Calibri" w:eastAsia="Calibri" w:hAnsi="Calibri"/>
                <w:color w:val="1A1A18"/>
                <w:sz w:val="19"/>
                <w:szCs w:val="19"/>
              </w:rPr>
              <w:t xml:space="preserve">Education–Industry Integration</w:t>
            </w:r>
          </w:p>
        </w:tc>
        <w:tc>
          <w:tcPr>
            <w:tcW w:type="dxa" w:w="3120"/>
            <w:tcBorders>
              <w:top w:val="none" w:color="FFFFFF" w:sz="0"/>
              <w:left w:val="none" w:color="FFFFFF" w:sz="0"/>
              <w:bottom w:val="none" w:color="FFFFFF" w:sz="0"/>
              <w:right w:val="none" w:color="FFFFFF" w:sz="0"/>
            </w:tcBorders>
          </w:tcPr>
          <w:p>
            <w:pPr>
              <w:spacing w:before="20" w:after="20"/>
            </w:pPr>
            <w:r>
              <w:rPr>
                <w:rFonts w:ascii="Calibri" w:cs="Calibri" w:eastAsia="Calibri" w:hAnsi="Calibri"/>
                <w:color w:val="1A1A18"/>
                <w:sz w:val="19"/>
                <w:szCs w:val="19"/>
              </w:rPr>
              <w:t xml:space="preserve">Community &amp; Stakeholder Engagement</w:t>
            </w:r>
          </w:p>
        </w:tc>
        <w:tc>
          <w:tcPr>
            <w:tcW w:type="dxa" w:w="3120"/>
            <w:tcBorders>
              <w:top w:val="none" w:color="FFFFFF" w:sz="0"/>
              <w:left w:val="none" w:color="FFFFFF" w:sz="0"/>
              <w:bottom w:val="none" w:color="FFFFFF" w:sz="0"/>
              <w:right w:val="none" w:color="FFFFFF" w:sz="0"/>
            </w:tcBorders>
          </w:tcPr>
          <w:p>
            <w:pPr>
              <w:spacing w:before="20" w:after="20"/>
            </w:pPr>
            <w:r>
              <w:rPr>
                <w:rFonts w:ascii="Calibri" w:cs="Calibri" w:eastAsia="Calibri" w:hAnsi="Calibri"/>
                <w:color w:val="1A1A18"/>
                <w:sz w:val="19"/>
                <w:szCs w:val="19"/>
              </w:rPr>
              <w:t xml:space="preserve">Public Speaking &amp; Thought Leadership</w:t>
            </w:r>
          </w:p>
        </w:tc>
      </w:tr>
    </w:tbl>
    <w:p>
      <w:pPr>
        <w:spacing w:before="160" w:after="0"/>
      </w:pPr>
    </w:p>
    <w:p>
      <w:pPr>
        <w:spacing w:before="0" w:after="60"/>
      </w:pPr>
      <w:r>
        <w:rPr>
          <w:rFonts w:ascii="Calibri" w:cs="Calibri" w:eastAsia="Calibri" w:hAnsi="Calibri"/>
          <w:b/>
          <w:bCs/>
          <w:color w:val="9A7A3A"/>
          <w:spacing w:val="80"/>
          <w:sz w:val="18"/>
          <w:szCs w:val="18"/>
        </w:rPr>
        <w:t xml:space="preserve">PROFESSIONAL EXPERIENCE</w:t>
      </w:r>
    </w:p>
    <w:p>
      <w:pPr>
        <w:pBdr>
          <w:bottom w:val="single" w:color="D4C9A8" w:sz="4" w:space="1"/>
        </w:pBdr>
        <w:spacing w:before="0" w:after="0"/>
      </w:pPr>
    </w:p>
    <w:p>
      <w:pPr>
        <w:spacing w:before="60" w:after="0"/>
      </w:pPr>
    </w:p>
    <w:p>
      <w:pPr>
        <w:tabs>
          <w:tab w:val="right" w:pos="9026"/>
        </w:tabs>
        <w:spacing w:before="80" w:after="14"/>
      </w:pPr>
      <w:r>
        <w:rPr>
          <w:rFonts w:ascii="Calibri" w:cs="Calibri" w:eastAsia="Calibri" w:hAnsi="Calibri"/>
          <w:b/>
          <w:bCs/>
          <w:color w:val="1A1A18"/>
          <w:sz w:val="22"/>
          <w:szCs w:val="22"/>
        </w:rPr>
        <w:t xml:space="preserve">Director, Sector Enablement</w:t>
      </w:r>
      <w:r>
        <w:rPr>
          <w:rFonts w:ascii="Calibri" w:cs="Calibri" w:eastAsia="Calibri" w:hAnsi="Calibri"/>
          <w:color w:val="6A6058"/>
          <w:sz w:val="20"/>
          <w:szCs w:val="20"/>
        </w:rPr>
        <w:t xml:space="preserve">  ·  </w:t>
      </w:r>
      <w:r>
        <w:rPr>
          <w:rFonts w:ascii="Calibri" w:cs="Calibri" w:eastAsia="Calibri" w:hAnsi="Calibri"/>
          <w:color w:val="9A7A3A"/>
          <w:sz w:val="20"/>
          <w:szCs w:val="20"/>
        </w:rPr>
        <w:t xml:space="preserve">Abu Dhabi Gaming · Sandstorm Comics</w:t>
      </w:r>
      <w:r>
        <w:rPr>
          <w:rFonts w:ascii="Calibri" w:cs="Calibri" w:eastAsia="Calibri" w:hAnsi="Calibri"/>
          <w:color w:val="6A6058"/>
          <w:sz w:val="18"/>
          <w:szCs w:val="18"/>
        </w:rPr>
        <w:t xml:space="preserve">  ·  Abu Dhabi, UAE</w:t>
      </w:r>
      <w:r>
        <w:rPr>
          <w:rFonts w:ascii="Calibri" w:cs="Calibri" w:eastAsia="Calibri" w:hAnsi="Calibri"/>
          <w:sz w:val="18"/>
          <w:szCs w:val="18"/>
        </w:rPr>
        <w:t xml:space="preserve">	</w:t>
      </w:r>
      <w:r>
        <w:rPr>
          <w:rFonts w:ascii="Calibri" w:cs="Calibri" w:eastAsia="Calibri" w:hAnsi="Calibri"/>
          <w:i/>
          <w:iCs/>
          <w:color w:val="6A6058"/>
          <w:sz w:val="18"/>
          <w:szCs w:val="18"/>
        </w:rPr>
        <w:t xml:space="preserve">2025 – Present</w:t>
      </w:r>
    </w:p>
    <w:p>
      <w:pPr>
        <w:spacing w:before="20" w:after="30"/>
      </w:pPr>
      <w:r>
        <w:rPr>
          <w:rFonts w:ascii="Calibri" w:cs="Calibri" w:eastAsia="Calibri" w:hAnsi="Calibri"/>
          <w:i/>
          <w:iCs/>
          <w:color w:val="6A6058"/>
          <w:sz w:val="18"/>
          <w:szCs w:val="18"/>
        </w:rPr>
        <w:t xml:space="preserve">Abu Dhabi Department of Culture &amp; Tourism  ·  Talent Development, Community Engagement &amp; Esports</w:t>
      </w:r>
    </w:p>
    <w:p>
      <w:pPr>
        <w:pStyle w:val="ListParagraph"/>
        <w:numPr>
          <w:ilvl w:val="0"/>
          <w:numId w:val="2"/>
        </w:numPr>
        <w:spacing w:before="16" w:after="16"/>
      </w:pPr>
      <w:r>
        <w:rPr>
          <w:rFonts w:ascii="Calibri" w:cs="Calibri" w:eastAsia="Calibri" w:hAnsi="Calibri"/>
          <w:color w:val="1A1A18"/>
          <w:sz w:val="19"/>
          <w:szCs w:val="19"/>
        </w:rPr>
        <w:t xml:space="preserve">Lead talent development, community engagement, and esports across both Abu Dhabi Gaming and Sandstorm Comics; primary KPI is GDP contribution measured through gaming industry jobs created.</w:t>
      </w:r>
    </w:p>
    <w:p>
      <w:pPr>
        <w:pStyle w:val="ListParagraph"/>
        <w:numPr>
          <w:ilvl w:val="0"/>
          <w:numId w:val="2"/>
        </w:numPr>
        <w:spacing w:before="16" w:after="16"/>
      </w:pPr>
      <w:r>
        <w:rPr>
          <w:rFonts w:ascii="Calibri" w:cs="Calibri" w:eastAsia="Calibri" w:hAnsi="Calibri"/>
          <w:color w:val="1A1A18"/>
          <w:sz w:val="19"/>
          <w:szCs w:val="19"/>
        </w:rPr>
        <w:t xml:space="preserve">Grew Abu Dhabi's gaming company network to 100+ studios and service providers within twelve months.</w:t>
      </w:r>
    </w:p>
    <w:p>
      <w:pPr>
        <w:pStyle w:val="ListParagraph"/>
        <w:numPr>
          <w:ilvl w:val="0"/>
          <w:numId w:val="2"/>
        </w:numPr>
        <w:spacing w:before="16" w:after="16"/>
      </w:pPr>
      <w:r>
        <w:rPr>
          <w:rFonts w:ascii="Calibri" w:cs="Calibri" w:eastAsia="Calibri" w:hAnsi="Calibri"/>
          <w:color w:val="1A1A18"/>
          <w:sz w:val="19"/>
          <w:szCs w:val="19"/>
        </w:rPr>
        <w:t xml:space="preserve">Created 150+ gaming industry jobs; first on-target KPI year for the organization since 2021.</w:t>
      </w:r>
    </w:p>
    <w:p>
      <w:pPr>
        <w:pStyle w:val="ListParagraph"/>
        <w:numPr>
          <w:ilvl w:val="0"/>
          <w:numId w:val="2"/>
        </w:numPr>
        <w:spacing w:before="16" w:after="16"/>
      </w:pPr>
      <w:r>
        <w:rPr>
          <w:rFonts w:ascii="Calibri" w:cs="Calibri" w:eastAsia="Calibri" w:hAnsi="Calibri"/>
          <w:color w:val="1A1A18"/>
          <w:sz w:val="19"/>
          <w:szCs w:val="19"/>
        </w:rPr>
        <w:t xml:space="preserve">Launched the region's first gaming bachelor's degree through a partnership with French school Rubika.</w:t>
      </w:r>
    </w:p>
    <w:p>
      <w:pPr>
        <w:pStyle w:val="ListParagraph"/>
        <w:numPr>
          <w:ilvl w:val="0"/>
          <w:numId w:val="2"/>
        </w:numPr>
        <w:spacing w:before="16" w:after="16"/>
      </w:pPr>
      <w:r>
        <w:rPr>
          <w:rFonts w:ascii="Calibri" w:cs="Calibri" w:eastAsia="Calibri" w:hAnsi="Calibri"/>
          <w:color w:val="1A1A18"/>
          <w:sz w:val="19"/>
          <w:szCs w:val="19"/>
        </w:rPr>
        <w:t xml:space="preserve">Co-produced the regional launch of Call of Duty with Activision; hosted the first Marvel Rivals tournament outside China.</w:t>
      </w:r>
    </w:p>
    <w:p>
      <w:pPr>
        <w:pStyle w:val="ListParagraph"/>
        <w:numPr>
          <w:ilvl w:val="0"/>
          <w:numId w:val="2"/>
        </w:numPr>
        <w:spacing w:before="16" w:after="16"/>
      </w:pPr>
      <w:r>
        <w:rPr>
          <w:rFonts w:ascii="Calibri" w:cs="Calibri" w:eastAsia="Calibri" w:hAnsi="Calibri"/>
          <w:color w:val="1A1A18"/>
          <w:sz w:val="19"/>
          <w:szCs w:val="19"/>
        </w:rPr>
        <w:t xml:space="preserve">Led a full organizational rebrand from strategy through execution.</w:t>
      </w:r>
    </w:p>
    <w:p>
      <w:pPr>
        <w:pStyle w:val="ListParagraph"/>
        <w:numPr>
          <w:ilvl w:val="0"/>
          <w:numId w:val="2"/>
        </w:numPr>
        <w:spacing w:before="16" w:after="16"/>
      </w:pPr>
      <w:r>
        <w:rPr>
          <w:rFonts w:ascii="Calibri" w:cs="Calibri" w:eastAsia="Calibri" w:hAnsi="Calibri"/>
          <w:color w:val="1A1A18"/>
          <w:sz w:val="19"/>
          <w:szCs w:val="19"/>
        </w:rPr>
        <w:t xml:space="preserve">Contributed to a 20% GDP impact increase in 2024; delivered a 10-year industry strategy in six months.</w:t>
      </w:r>
    </w:p>
    <w:p>
      <w:pPr>
        <w:spacing w:before="20" w:after="10"/>
      </w:pPr>
      <w:r>
        <w:rPr>
          <w:rFonts w:ascii="Calibri" w:cs="Calibri" w:eastAsia="Calibri" w:hAnsi="Calibri"/>
          <w:b/>
          <w:bCs/>
          <w:color w:val="9A7A3A"/>
          <w:sz w:val="17"/>
          <w:szCs w:val="17"/>
        </w:rPr>
        <w:t xml:space="preserve">150+ Jobs Created</w:t>
      </w:r>
      <w:r>
        <w:rPr>
          <w:rFonts w:ascii="Calibri" w:cs="Calibri" w:eastAsia="Calibri" w:hAnsi="Calibri"/>
          <w:color w:val="D4C9A8"/>
          <w:sz w:val="17"/>
          <w:szCs w:val="17"/>
        </w:rPr>
        <w:t xml:space="preserve">   ·   </w:t>
      </w:r>
      <w:r>
        <w:rPr>
          <w:rFonts w:ascii="Calibri" w:cs="Calibri" w:eastAsia="Calibri" w:hAnsi="Calibri"/>
          <w:b/>
          <w:bCs/>
          <w:color w:val="9A7A3A"/>
          <w:sz w:val="17"/>
          <w:szCs w:val="17"/>
        </w:rPr>
        <w:t xml:space="preserve">100+ Company Network</w:t>
      </w:r>
      <w:r>
        <w:rPr>
          <w:rFonts w:ascii="Calibri" w:cs="Calibri" w:eastAsia="Calibri" w:hAnsi="Calibri"/>
          <w:color w:val="D4C9A8"/>
          <w:sz w:val="17"/>
          <w:szCs w:val="17"/>
        </w:rPr>
        <w:t xml:space="preserve">   ·   </w:t>
      </w:r>
      <w:r>
        <w:rPr>
          <w:rFonts w:ascii="Calibri" w:cs="Calibri" w:eastAsia="Calibri" w:hAnsi="Calibri"/>
          <w:b/>
          <w:bCs/>
          <w:color w:val="9A7A3A"/>
          <w:sz w:val="17"/>
          <w:szCs w:val="17"/>
        </w:rPr>
        <w:t xml:space="preserve">20% GDP Impact Increase</w:t>
      </w:r>
      <w:r>
        <w:rPr>
          <w:rFonts w:ascii="Calibri" w:cs="Calibri" w:eastAsia="Calibri" w:hAnsi="Calibri"/>
          <w:color w:val="D4C9A8"/>
          <w:sz w:val="17"/>
          <w:szCs w:val="17"/>
        </w:rPr>
        <w:t xml:space="preserve">   ·   </w:t>
      </w:r>
      <w:r>
        <w:rPr>
          <w:rFonts w:ascii="Calibri" w:cs="Calibri" w:eastAsia="Calibri" w:hAnsi="Calibri"/>
          <w:b/>
          <w:bCs/>
          <w:color w:val="9A7A3A"/>
          <w:sz w:val="17"/>
          <w:szCs w:val="17"/>
        </w:rPr>
        <w:t xml:space="preserve">First On-Target KPI Year Since 2021</w:t>
      </w:r>
    </w:p>
    <w:p>
      <w:pPr>
        <w:tabs>
          <w:tab w:val="right" w:pos="9026"/>
        </w:tabs>
        <w:spacing w:before="80" w:after="14"/>
      </w:pPr>
      <w:r>
        <w:rPr>
          <w:rFonts w:ascii="Calibri" w:cs="Calibri" w:eastAsia="Calibri" w:hAnsi="Calibri"/>
          <w:b/>
          <w:bCs/>
          <w:color w:val="1A1A18"/>
          <w:sz w:val="22"/>
          <w:szCs w:val="22"/>
        </w:rPr>
        <w:t xml:space="preserve">Director</w:t>
      </w:r>
      <w:r>
        <w:rPr>
          <w:rFonts w:ascii="Calibri" w:cs="Calibri" w:eastAsia="Calibri" w:hAnsi="Calibri"/>
          <w:color w:val="6A6058"/>
          <w:sz w:val="20"/>
          <w:szCs w:val="20"/>
        </w:rPr>
        <w:t xml:space="preserve">  ·  </w:t>
      </w:r>
      <w:r>
        <w:rPr>
          <w:rFonts w:ascii="Calibri" w:cs="Calibri" w:eastAsia="Calibri" w:hAnsi="Calibri"/>
          <w:color w:val="9A7A3A"/>
          <w:sz w:val="20"/>
          <w:szCs w:val="20"/>
        </w:rPr>
        <w:t xml:space="preserve">Abu Dhabi Gaming</w:t>
      </w:r>
      <w:r>
        <w:rPr>
          <w:rFonts w:ascii="Calibri" w:cs="Calibri" w:eastAsia="Calibri" w:hAnsi="Calibri"/>
          <w:color w:val="6A6058"/>
          <w:sz w:val="18"/>
          <w:szCs w:val="18"/>
        </w:rPr>
        <w:t xml:space="preserve">  ·  Abu Dhabi, UAE</w:t>
      </w:r>
      <w:r>
        <w:rPr>
          <w:rFonts w:ascii="Calibri" w:cs="Calibri" w:eastAsia="Calibri" w:hAnsi="Calibri"/>
          <w:sz w:val="18"/>
          <w:szCs w:val="18"/>
        </w:rPr>
        <w:t xml:space="preserve">	</w:t>
      </w:r>
      <w:r>
        <w:rPr>
          <w:rFonts w:ascii="Calibri" w:cs="Calibri" w:eastAsia="Calibri" w:hAnsi="Calibri"/>
          <w:i/>
          <w:iCs/>
          <w:color w:val="6A6058"/>
          <w:sz w:val="18"/>
          <w:szCs w:val="18"/>
        </w:rPr>
        <w:t xml:space="preserve">2024 – 2025</w:t>
      </w:r>
    </w:p>
    <w:p>
      <w:pPr>
        <w:spacing w:before="20" w:after="30"/>
      </w:pPr>
      <w:r>
        <w:rPr>
          <w:rFonts w:ascii="Calibri" w:cs="Calibri" w:eastAsia="Calibri" w:hAnsi="Calibri"/>
          <w:i/>
          <w:iCs/>
          <w:color w:val="6A6058"/>
          <w:sz w:val="18"/>
          <w:szCs w:val="18"/>
        </w:rPr>
        <w:t xml:space="preserve">Abu Dhabi Department of Culture &amp; Tourism  ·  Full organizational accountability</w:t>
      </w:r>
    </w:p>
    <w:p>
      <w:pPr>
        <w:pStyle w:val="ListParagraph"/>
        <w:numPr>
          <w:ilvl w:val="0"/>
          <w:numId w:val="2"/>
        </w:numPr>
        <w:spacing w:before="16" w:after="16"/>
      </w:pPr>
      <w:r>
        <w:rPr>
          <w:rFonts w:ascii="Calibri" w:cs="Calibri" w:eastAsia="Calibri" w:hAnsi="Calibri"/>
          <w:color w:val="1A1A18"/>
          <w:sz w:val="19"/>
          <w:szCs w:val="19"/>
        </w:rPr>
        <w:t xml:space="preserve">Held company-wide KPI accountability across ecosystem development, esports, talent, and community programming.</w:t>
      </w:r>
    </w:p>
    <w:p>
      <w:pPr>
        <w:pStyle w:val="ListParagraph"/>
        <w:numPr>
          <w:ilvl w:val="0"/>
          <w:numId w:val="2"/>
        </w:numPr>
        <w:spacing w:before="16" w:after="16"/>
      </w:pPr>
      <w:r>
        <w:rPr>
          <w:rFonts w:ascii="Calibri" w:cs="Calibri" w:eastAsia="Calibri" w:hAnsi="Calibri"/>
          <w:color w:val="1A1A18"/>
          <w:sz w:val="19"/>
          <w:szCs w:val="19"/>
        </w:rPr>
        <w:t xml:space="preserve">Represented Abu Dhabi Gaming at Tokyo Game Show (2024), debuting four UAE-based studios to Japanese publishers and global partners.</w:t>
      </w:r>
    </w:p>
    <w:p>
      <w:pPr>
        <w:pStyle w:val="ListParagraph"/>
        <w:numPr>
          <w:ilvl w:val="0"/>
          <w:numId w:val="2"/>
        </w:numPr>
        <w:spacing w:before="16" w:after="16"/>
      </w:pPr>
      <w:r>
        <w:rPr>
          <w:rFonts w:ascii="Calibri" w:cs="Calibri" w:eastAsia="Calibri" w:hAnsi="Calibri"/>
          <w:color w:val="1A1A18"/>
          <w:sz w:val="19"/>
          <w:szCs w:val="19"/>
        </w:rPr>
        <w:t xml:space="preserve">Acquired a top-ranked esports team for $1M; sold to an NBA franchise for approximately $3M, a 200% return; transaction featured on ESPN.</w:t>
      </w:r>
    </w:p>
    <w:p>
      <w:pPr>
        <w:spacing w:before="20" w:after="10"/>
      </w:pPr>
      <w:r>
        <w:rPr>
          <w:rFonts w:ascii="Calibri" w:cs="Calibri" w:eastAsia="Calibri" w:hAnsi="Calibri"/>
          <w:b/>
          <w:bCs/>
          <w:color w:val="9A7A3A"/>
          <w:sz w:val="17"/>
          <w:szCs w:val="17"/>
        </w:rPr>
        <w:t xml:space="preserve">Tokyo Game Show 2024</w:t>
      </w:r>
      <w:r>
        <w:rPr>
          <w:rFonts w:ascii="Calibri" w:cs="Calibri" w:eastAsia="Calibri" w:hAnsi="Calibri"/>
          <w:color w:val="D4C9A8"/>
          <w:sz w:val="17"/>
          <w:szCs w:val="17"/>
        </w:rPr>
        <w:t xml:space="preserve">   ·   </w:t>
      </w:r>
      <w:r>
        <w:rPr>
          <w:rFonts w:ascii="Calibri" w:cs="Calibri" w:eastAsia="Calibri" w:hAnsi="Calibri"/>
          <w:b/>
          <w:bCs/>
          <w:color w:val="9A7A3A"/>
          <w:sz w:val="17"/>
          <w:szCs w:val="17"/>
        </w:rPr>
        <w:t xml:space="preserve">$3M Esports Exit (200% ROI)</w:t>
      </w:r>
      <w:r>
        <w:rPr>
          <w:rFonts w:ascii="Calibri" w:cs="Calibri" w:eastAsia="Calibri" w:hAnsi="Calibri"/>
          <w:color w:val="D4C9A8"/>
          <w:sz w:val="17"/>
          <w:szCs w:val="17"/>
        </w:rPr>
        <w:t xml:space="preserve">   ·   </w:t>
      </w:r>
      <w:r>
        <w:rPr>
          <w:rFonts w:ascii="Calibri" w:cs="Calibri" w:eastAsia="Calibri" w:hAnsi="Calibri"/>
          <w:b/>
          <w:bCs/>
          <w:color w:val="9A7A3A"/>
          <w:sz w:val="17"/>
          <w:szCs w:val="17"/>
        </w:rPr>
        <w:t xml:space="preserve">ESPN Feature</w:t>
      </w:r>
    </w:p>
    <w:p>
      <w:pPr>
        <w:tabs>
          <w:tab w:val="right" w:pos="9026"/>
        </w:tabs>
        <w:spacing w:before="80" w:after="14"/>
      </w:pPr>
      <w:r>
        <w:rPr>
          <w:rFonts w:ascii="Calibri" w:cs="Calibri" w:eastAsia="Calibri" w:hAnsi="Calibri"/>
          <w:b/>
          <w:bCs/>
          <w:color w:val="1A1A18"/>
          <w:sz w:val="22"/>
          <w:szCs w:val="22"/>
        </w:rPr>
        <w:t xml:space="preserve">CEO (Acting) &amp; CTO</w:t>
      </w:r>
      <w:r>
        <w:rPr>
          <w:rFonts w:ascii="Calibri" w:cs="Calibri" w:eastAsia="Calibri" w:hAnsi="Calibri"/>
          <w:color w:val="6A6058"/>
          <w:sz w:val="20"/>
          <w:szCs w:val="20"/>
        </w:rPr>
        <w:t xml:space="preserve">  ·  </w:t>
      </w:r>
      <w:r>
        <w:rPr>
          <w:rFonts w:ascii="Calibri" w:cs="Calibri" w:eastAsia="Calibri" w:hAnsi="Calibri"/>
          <w:color w:val="9A7A3A"/>
          <w:sz w:val="20"/>
          <w:szCs w:val="20"/>
        </w:rPr>
        <w:t xml:space="preserve">42 Abu Dhabi  ·  ADEK</w:t>
      </w:r>
      <w:r>
        <w:rPr>
          <w:rFonts w:ascii="Calibri" w:cs="Calibri" w:eastAsia="Calibri" w:hAnsi="Calibri"/>
          <w:color w:val="6A6058"/>
          <w:sz w:val="18"/>
          <w:szCs w:val="18"/>
        </w:rPr>
        <w:t xml:space="preserve">  ·  Abu Dhabi, UAE</w:t>
      </w:r>
      <w:r>
        <w:rPr>
          <w:rFonts w:ascii="Calibri" w:cs="Calibri" w:eastAsia="Calibri" w:hAnsi="Calibri"/>
          <w:sz w:val="18"/>
          <w:szCs w:val="18"/>
        </w:rPr>
        <w:t xml:space="preserve">	</w:t>
      </w:r>
      <w:r>
        <w:rPr>
          <w:rFonts w:ascii="Calibri" w:cs="Calibri" w:eastAsia="Calibri" w:hAnsi="Calibri"/>
          <w:i/>
          <w:iCs/>
          <w:color w:val="6A6058"/>
          <w:sz w:val="18"/>
          <w:szCs w:val="18"/>
        </w:rPr>
        <w:t xml:space="preserve">2020 – 2024</w:t>
      </w:r>
    </w:p>
    <w:p>
      <w:pPr>
        <w:spacing w:before="20" w:after="30"/>
      </w:pPr>
      <w:r>
        <w:rPr>
          <w:rFonts w:ascii="Calibri" w:cs="Calibri" w:eastAsia="Calibri" w:hAnsi="Calibri"/>
          <w:i/>
          <w:iCs/>
          <w:color w:val="6A6058"/>
          <w:sz w:val="18"/>
          <w:szCs w:val="18"/>
        </w:rPr>
        <w:t xml:space="preserve">Abu Dhabi Department of Education &amp; Knowledge  ·  Peer-to-peer coding school, 42 Network</w:t>
      </w:r>
    </w:p>
    <w:p>
      <w:pPr>
        <w:pStyle w:val="ListParagraph"/>
        <w:numPr>
          <w:ilvl w:val="0"/>
          <w:numId w:val="2"/>
        </w:numPr>
        <w:spacing w:before="16" w:after="16"/>
      </w:pPr>
      <w:r>
        <w:rPr>
          <w:rFonts w:ascii="Calibri" w:cs="Calibri" w:eastAsia="Calibri" w:hAnsi="Calibri"/>
          <w:color w:val="1A1A18"/>
          <w:sz w:val="19"/>
          <w:szCs w:val="19"/>
        </w:rPr>
        <w:t xml:space="preserve">Recruited as founding CTO; promoted to Acting CEO during leadership transition; team of 21 direct and indirect reports.</w:t>
      </w:r>
    </w:p>
    <w:p>
      <w:pPr>
        <w:pStyle w:val="ListParagraph"/>
        <w:numPr>
          <w:ilvl w:val="0"/>
          <w:numId w:val="2"/>
        </w:numPr>
        <w:spacing w:before="16" w:after="16"/>
      </w:pPr>
      <w:r>
        <w:rPr>
          <w:rFonts w:ascii="Calibri" w:cs="Calibri" w:eastAsia="Calibri" w:hAnsi="Calibri"/>
          <w:color w:val="1A1A18"/>
          <w:sz w:val="19"/>
          <w:szCs w:val="19"/>
        </w:rPr>
        <w:t xml:space="preserve">Took the campus from concept to the first accredited institution in the entire 42 Network globally, covering 50+ campuses across 27 countries.</w:t>
      </w:r>
    </w:p>
    <w:p>
      <w:pPr>
        <w:pStyle w:val="ListParagraph"/>
        <w:numPr>
          <w:ilvl w:val="0"/>
          <w:numId w:val="2"/>
        </w:numPr>
        <w:spacing w:before="16" w:after="16"/>
      </w:pPr>
      <w:r>
        <w:rPr>
          <w:rFonts w:ascii="Calibri" w:cs="Calibri" w:eastAsia="Calibri" w:hAnsi="Calibri"/>
          <w:color w:val="1A1A18"/>
          <w:sz w:val="19"/>
          <w:szCs w:val="19"/>
        </w:rPr>
        <w:t xml:space="preserve">First graduate cohort achieved a 100% employment rate; lowest drop-out rate and highest pass rate in the 42 Network.</w:t>
      </w:r>
    </w:p>
    <w:p>
      <w:pPr>
        <w:pStyle w:val="ListParagraph"/>
        <w:numPr>
          <w:ilvl w:val="0"/>
          <w:numId w:val="2"/>
        </w:numPr>
        <w:spacing w:before="16" w:after="16"/>
      </w:pPr>
      <w:r>
        <w:rPr>
          <w:rFonts w:ascii="Calibri" w:cs="Calibri" w:eastAsia="Calibri" w:hAnsi="Calibri"/>
          <w:color w:val="1A1A18"/>
          <w:sz w:val="19"/>
          <w:szCs w:val="19"/>
        </w:rPr>
        <w:t xml:space="preserve">Restructured the organizational chart and pay scale; developed a new five-year expansion strategy.</w:t>
      </w:r>
    </w:p>
    <w:p>
      <w:pPr>
        <w:pStyle w:val="ListParagraph"/>
        <w:numPr>
          <w:ilvl w:val="0"/>
          <w:numId w:val="2"/>
        </w:numPr>
        <w:spacing w:before="16" w:after="16"/>
      </w:pPr>
      <w:r>
        <w:rPr>
          <w:rFonts w:ascii="Calibri" w:cs="Calibri" w:eastAsia="Calibri" w:hAnsi="Calibri"/>
          <w:color w:val="1A1A18"/>
          <w:sz w:val="19"/>
          <w:szCs w:val="19"/>
        </w:rPr>
        <w:t xml:space="preserve">Delivered the campus grand opening keynote in front of HH Sheikh Khaled bin Mohamed bin Zayed and HE the Minister of Education.</w:t>
      </w:r>
    </w:p>
    <w:p>
      <w:pPr>
        <w:pStyle w:val="ListParagraph"/>
        <w:numPr>
          <w:ilvl w:val="0"/>
          <w:numId w:val="2"/>
        </w:numPr>
        <w:spacing w:before="16" w:after="16"/>
      </w:pPr>
      <w:r>
        <w:rPr>
          <w:rFonts w:ascii="Calibri" w:cs="Calibri" w:eastAsia="Calibri" w:hAnsi="Calibri"/>
          <w:color w:val="1A1A18"/>
          <w:sz w:val="19"/>
          <w:szCs w:val="19"/>
        </w:rPr>
        <w:t xml:space="preserve">Delivered an Intel-hosted industry keynote in Abu Dhabi; spoke at Games for Change Middle East Summit (Dec 2023).</w:t>
      </w:r>
    </w:p>
    <w:p>
      <w:pPr>
        <w:spacing w:before="20" w:after="10"/>
      </w:pPr>
      <w:r>
        <w:rPr>
          <w:rFonts w:ascii="Calibri" w:cs="Calibri" w:eastAsia="Calibri" w:hAnsi="Calibri"/>
          <w:b/>
          <w:bCs/>
          <w:color w:val="9A7A3A"/>
          <w:sz w:val="17"/>
          <w:szCs w:val="17"/>
        </w:rPr>
        <w:t xml:space="preserve">First Accredited 42 Campus Globally</w:t>
      </w:r>
      <w:r>
        <w:rPr>
          <w:rFonts w:ascii="Calibri" w:cs="Calibri" w:eastAsia="Calibri" w:hAnsi="Calibri"/>
          <w:color w:val="D4C9A8"/>
          <w:sz w:val="17"/>
          <w:szCs w:val="17"/>
        </w:rPr>
        <w:t xml:space="preserve">   ·   </w:t>
      </w:r>
      <w:r>
        <w:rPr>
          <w:rFonts w:ascii="Calibri" w:cs="Calibri" w:eastAsia="Calibri" w:hAnsi="Calibri"/>
          <w:b/>
          <w:bCs/>
          <w:color w:val="9A7A3A"/>
          <w:sz w:val="17"/>
          <w:szCs w:val="17"/>
        </w:rPr>
        <w:t xml:space="preserve">100% Graduate Employment Rate</w:t>
      </w:r>
      <w:r>
        <w:rPr>
          <w:rFonts w:ascii="Calibri" w:cs="Calibri" w:eastAsia="Calibri" w:hAnsi="Calibri"/>
          <w:color w:val="D4C9A8"/>
          <w:sz w:val="17"/>
          <w:szCs w:val="17"/>
        </w:rPr>
        <w:t xml:space="preserve">   ·   </w:t>
      </w:r>
      <w:r>
        <w:rPr>
          <w:rFonts w:ascii="Calibri" w:cs="Calibri" w:eastAsia="Calibri" w:hAnsi="Calibri"/>
          <w:b/>
          <w:bCs/>
          <w:color w:val="9A7A3A"/>
          <w:sz w:val="17"/>
          <w:szCs w:val="17"/>
        </w:rPr>
        <w:t xml:space="preserve">Lowest Drop-Out Rate in 42 Network</w:t>
      </w:r>
    </w:p>
    <w:p>
      <w:pPr>
        <w:tabs>
          <w:tab w:val="right" w:pos="9026"/>
        </w:tabs>
        <w:spacing w:before="80" w:after="14"/>
      </w:pPr>
      <w:r>
        <w:rPr>
          <w:rFonts w:ascii="Calibri" w:cs="Calibri" w:eastAsia="Calibri" w:hAnsi="Calibri"/>
          <w:b/>
          <w:bCs/>
          <w:color w:val="1A1A18"/>
          <w:sz w:val="22"/>
          <w:szCs w:val="22"/>
        </w:rPr>
        <w:t xml:space="preserve">Key Account Manager / Relationship Manager</w:t>
      </w:r>
      <w:r>
        <w:rPr>
          <w:rFonts w:ascii="Calibri" w:cs="Calibri" w:eastAsia="Calibri" w:hAnsi="Calibri"/>
          <w:color w:val="6A6058"/>
          <w:sz w:val="20"/>
          <w:szCs w:val="20"/>
        </w:rPr>
        <w:t xml:space="preserve">  ·  </w:t>
      </w:r>
      <w:r>
        <w:rPr>
          <w:rFonts w:ascii="Calibri" w:cs="Calibri" w:eastAsia="Calibri" w:hAnsi="Calibri"/>
          <w:color w:val="9A7A3A"/>
          <w:sz w:val="20"/>
          <w:szCs w:val="20"/>
        </w:rPr>
        <w:t xml:space="preserve">MDC Business Management Services (Mubadala Group)</w:t>
      </w:r>
      <w:r>
        <w:rPr>
          <w:rFonts w:ascii="Calibri" w:cs="Calibri" w:eastAsia="Calibri" w:hAnsi="Calibri"/>
          <w:color w:val="6A6058"/>
          <w:sz w:val="18"/>
          <w:szCs w:val="18"/>
        </w:rPr>
        <w:t xml:space="preserve">  ·  Abu Dhabi, UAE</w:t>
      </w:r>
      <w:r>
        <w:rPr>
          <w:rFonts w:ascii="Calibri" w:cs="Calibri" w:eastAsia="Calibri" w:hAnsi="Calibri"/>
          <w:sz w:val="18"/>
          <w:szCs w:val="18"/>
        </w:rPr>
        <w:t xml:space="preserve">	</w:t>
      </w:r>
      <w:r>
        <w:rPr>
          <w:rFonts w:ascii="Calibri" w:cs="Calibri" w:eastAsia="Calibri" w:hAnsi="Calibri"/>
          <w:i/>
          <w:iCs/>
          <w:color w:val="6A6058"/>
          <w:sz w:val="18"/>
          <w:szCs w:val="18"/>
        </w:rPr>
        <w:t xml:space="preserve">2015 – 2020</w:t>
      </w:r>
    </w:p>
    <w:p>
      <w:pPr>
        <w:pStyle w:val="ListParagraph"/>
        <w:numPr>
          <w:ilvl w:val="0"/>
          <w:numId w:val="2"/>
        </w:numPr>
        <w:spacing w:before="16" w:after="16"/>
      </w:pPr>
      <w:r>
        <w:rPr>
          <w:rFonts w:ascii="Calibri" w:cs="Calibri" w:eastAsia="Calibri" w:hAnsi="Calibri"/>
          <w:color w:val="1A1A18"/>
          <w:sz w:val="19"/>
          <w:szCs w:val="19"/>
        </w:rPr>
        <w:t xml:space="preserve">Managed enterprise accounts with a combined contract value exceeding $20M; accountable for 45% of company revenue.</w:t>
      </w:r>
    </w:p>
    <w:p>
      <w:pPr>
        <w:pStyle w:val="ListParagraph"/>
        <w:numPr>
          <w:ilvl w:val="0"/>
          <w:numId w:val="2"/>
        </w:numPr>
        <w:spacing w:before="16" w:after="16"/>
      </w:pPr>
      <w:r>
        <w:rPr>
          <w:rFonts w:ascii="Calibri" w:cs="Calibri" w:eastAsia="Calibri" w:hAnsi="Calibri"/>
          <w:color w:val="1A1A18"/>
          <w:sz w:val="19"/>
          <w:szCs w:val="19"/>
        </w:rPr>
        <w:t xml:space="preserve">Exceeded sales targets by 50%+ consistently by Q2 each year; achieved the highest client closure rate in the company.</w:t>
      </w:r>
    </w:p>
    <w:p>
      <w:pPr>
        <w:pStyle w:val="ListParagraph"/>
        <w:numPr>
          <w:ilvl w:val="0"/>
          <w:numId w:val="2"/>
        </w:numPr>
        <w:spacing w:before="16" w:after="16"/>
      </w:pPr>
      <w:r>
        <w:rPr>
          <w:rFonts w:ascii="Calibri" w:cs="Calibri" w:eastAsia="Calibri" w:hAnsi="Calibri"/>
          <w:color w:val="1A1A18"/>
          <w:sz w:val="19"/>
          <w:szCs w:val="19"/>
        </w:rPr>
        <w:t xml:space="preserve">Served concurrently as Disaster Recovery Manager, the only DRM to achieve the highest audit rating for two consecutive years.</w:t>
      </w:r>
    </w:p>
    <w:p>
      <w:pPr>
        <w:pStyle w:val="ListParagraph"/>
        <w:numPr>
          <w:ilvl w:val="0"/>
          <w:numId w:val="2"/>
        </w:numPr>
        <w:spacing w:before="16" w:after="16"/>
      </w:pPr>
      <w:r>
        <w:rPr>
          <w:rFonts w:ascii="Calibri" w:cs="Calibri" w:eastAsia="Calibri" w:hAnsi="Calibri"/>
          <w:color w:val="1A1A18"/>
          <w:sz w:val="19"/>
          <w:szCs w:val="19"/>
        </w:rPr>
        <w:t xml:space="preserve">Led technology project management on initiatives valued at over $5M AED.</w:t>
      </w:r>
    </w:p>
    <w:p>
      <w:pPr>
        <w:spacing w:before="20" w:after="10"/>
      </w:pPr>
      <w:r>
        <w:rPr>
          <w:rFonts w:ascii="Calibri" w:cs="Calibri" w:eastAsia="Calibri" w:hAnsi="Calibri"/>
          <w:b/>
          <w:bCs/>
          <w:color w:val="9A7A3A"/>
          <w:sz w:val="17"/>
          <w:szCs w:val="17"/>
        </w:rPr>
        <w:t xml:space="preserve">$20M+ Portfolio</w:t>
      </w:r>
      <w:r>
        <w:rPr>
          <w:rFonts w:ascii="Calibri" w:cs="Calibri" w:eastAsia="Calibri" w:hAnsi="Calibri"/>
          <w:color w:val="D4C9A8"/>
          <w:sz w:val="17"/>
          <w:szCs w:val="17"/>
        </w:rPr>
        <w:t xml:space="preserve">   ·   </w:t>
      </w:r>
      <w:r>
        <w:rPr>
          <w:rFonts w:ascii="Calibri" w:cs="Calibri" w:eastAsia="Calibri" w:hAnsi="Calibri"/>
          <w:b/>
          <w:bCs/>
          <w:color w:val="9A7A3A"/>
          <w:sz w:val="17"/>
          <w:szCs w:val="17"/>
        </w:rPr>
        <w:t xml:space="preserve">45% of Company Revenue</w:t>
      </w:r>
      <w:r>
        <w:rPr>
          <w:rFonts w:ascii="Calibri" w:cs="Calibri" w:eastAsia="Calibri" w:hAnsi="Calibri"/>
          <w:color w:val="D4C9A8"/>
          <w:sz w:val="17"/>
          <w:szCs w:val="17"/>
        </w:rPr>
        <w:t xml:space="preserve">   ·   </w:t>
      </w:r>
      <w:r>
        <w:rPr>
          <w:rFonts w:ascii="Calibri" w:cs="Calibri" w:eastAsia="Calibri" w:hAnsi="Calibri"/>
          <w:b/>
          <w:bCs/>
          <w:color w:val="9A7A3A"/>
          <w:sz w:val="17"/>
          <w:szCs w:val="17"/>
        </w:rPr>
        <w:t xml:space="preserve">Highest Audit Rating (×2)</w:t>
      </w:r>
    </w:p>
    <w:p>
      <w:pPr>
        <w:tabs>
          <w:tab w:val="right" w:pos="9026"/>
        </w:tabs>
        <w:spacing w:before="80" w:after="14"/>
      </w:pPr>
      <w:r>
        <w:rPr>
          <w:rFonts w:ascii="Calibri" w:cs="Calibri" w:eastAsia="Calibri" w:hAnsi="Calibri"/>
          <w:b/>
          <w:bCs/>
          <w:color w:val="1A1A18"/>
          <w:sz w:val="22"/>
          <w:szCs w:val="22"/>
        </w:rPr>
        <w:t xml:space="preserve">Communications Specialist</w:t>
      </w:r>
      <w:r>
        <w:rPr>
          <w:rFonts w:ascii="Calibri" w:cs="Calibri" w:eastAsia="Calibri" w:hAnsi="Calibri"/>
          <w:color w:val="6A6058"/>
          <w:sz w:val="20"/>
          <w:szCs w:val="20"/>
        </w:rPr>
        <w:t xml:space="preserve">  ·  </w:t>
      </w:r>
      <w:r>
        <w:rPr>
          <w:rFonts w:ascii="Calibri" w:cs="Calibri" w:eastAsia="Calibri" w:hAnsi="Calibri"/>
          <w:color w:val="9A7A3A"/>
          <w:sz w:val="20"/>
          <w:szCs w:val="20"/>
        </w:rPr>
        <w:t xml:space="preserve">Mubadala Development Company</w:t>
      </w:r>
      <w:r>
        <w:rPr>
          <w:rFonts w:ascii="Calibri" w:cs="Calibri" w:eastAsia="Calibri" w:hAnsi="Calibri"/>
          <w:color w:val="6A6058"/>
          <w:sz w:val="18"/>
          <w:szCs w:val="18"/>
        </w:rPr>
        <w:t xml:space="preserve">  ·  Abu Dhabi, UAE</w:t>
      </w:r>
      <w:r>
        <w:rPr>
          <w:rFonts w:ascii="Calibri" w:cs="Calibri" w:eastAsia="Calibri" w:hAnsi="Calibri"/>
          <w:sz w:val="18"/>
          <w:szCs w:val="18"/>
        </w:rPr>
        <w:t xml:space="preserve">	</w:t>
      </w:r>
      <w:r>
        <w:rPr>
          <w:rFonts w:ascii="Calibri" w:cs="Calibri" w:eastAsia="Calibri" w:hAnsi="Calibri"/>
          <w:i/>
          <w:iCs/>
          <w:color w:val="6A6058"/>
          <w:sz w:val="18"/>
          <w:szCs w:val="18"/>
        </w:rPr>
        <w:t xml:space="preserve">2014 – 2015</w:t>
      </w:r>
    </w:p>
    <w:p>
      <w:pPr>
        <w:pStyle w:val="ListParagraph"/>
        <w:numPr>
          <w:ilvl w:val="0"/>
          <w:numId w:val="2"/>
        </w:numPr>
        <w:spacing w:before="16" w:after="16"/>
      </w:pPr>
      <w:r>
        <w:rPr>
          <w:rFonts w:ascii="Calibri" w:cs="Calibri" w:eastAsia="Calibri" w:hAnsi="Calibri"/>
          <w:color w:val="1A1A18"/>
          <w:sz w:val="19"/>
          <w:szCs w:val="19"/>
        </w:rPr>
        <w:t xml:space="preserve">Managed all operational communications for 1,600 users; coordinated planned and unplanned outage communications.</w:t>
      </w:r>
    </w:p>
    <w:p>
      <w:pPr>
        <w:tabs>
          <w:tab w:val="right" w:pos="9026"/>
        </w:tabs>
        <w:spacing w:before="80" w:after="14"/>
      </w:pPr>
      <w:r>
        <w:rPr>
          <w:rFonts w:ascii="Calibri" w:cs="Calibri" w:eastAsia="Calibri" w:hAnsi="Calibri"/>
          <w:b/>
          <w:bCs/>
          <w:color w:val="1A1A18"/>
          <w:sz w:val="22"/>
          <w:szCs w:val="22"/>
        </w:rPr>
        <w:t xml:space="preserve">Associate Consultant</w:t>
      </w:r>
      <w:r>
        <w:rPr>
          <w:rFonts w:ascii="Calibri" w:cs="Calibri" w:eastAsia="Calibri" w:hAnsi="Calibri"/>
          <w:color w:val="6A6058"/>
          <w:sz w:val="20"/>
          <w:szCs w:val="20"/>
        </w:rPr>
        <w:t xml:space="preserve">  ·  </w:t>
      </w:r>
      <w:r>
        <w:rPr>
          <w:rFonts w:ascii="Calibri" w:cs="Calibri" w:eastAsia="Calibri" w:hAnsi="Calibri"/>
          <w:color w:val="9A7A3A"/>
          <w:sz w:val="20"/>
          <w:szCs w:val="20"/>
        </w:rPr>
        <w:t xml:space="preserve">ABeam Consulting</w:t>
      </w:r>
      <w:r>
        <w:rPr>
          <w:rFonts w:ascii="Calibri" w:cs="Calibri" w:eastAsia="Calibri" w:hAnsi="Calibri"/>
          <w:color w:val="6A6058"/>
          <w:sz w:val="18"/>
          <w:szCs w:val="18"/>
        </w:rPr>
        <w:t xml:space="preserve">  ·  Dallas, TX</w:t>
      </w:r>
      <w:r>
        <w:rPr>
          <w:rFonts w:ascii="Calibri" w:cs="Calibri" w:eastAsia="Calibri" w:hAnsi="Calibri"/>
          <w:sz w:val="18"/>
          <w:szCs w:val="18"/>
        </w:rPr>
        <w:t xml:space="preserve">	</w:t>
      </w:r>
      <w:r>
        <w:rPr>
          <w:rFonts w:ascii="Calibri" w:cs="Calibri" w:eastAsia="Calibri" w:hAnsi="Calibri"/>
          <w:i/>
          <w:iCs/>
          <w:color w:val="6A6058"/>
          <w:sz w:val="18"/>
          <w:szCs w:val="18"/>
        </w:rPr>
        <w:t xml:space="preserve">2011 – 2012</w:t>
      </w:r>
    </w:p>
    <w:p>
      <w:pPr>
        <w:pStyle w:val="ListParagraph"/>
        <w:numPr>
          <w:ilvl w:val="0"/>
          <w:numId w:val="2"/>
        </w:numPr>
        <w:spacing w:before="16" w:after="16"/>
      </w:pPr>
      <w:r>
        <w:rPr>
          <w:rFonts w:ascii="Calibri" w:cs="Calibri" w:eastAsia="Calibri" w:hAnsi="Calibri"/>
          <w:color w:val="1A1A18"/>
          <w:sz w:val="19"/>
          <w:szCs w:val="19"/>
        </w:rPr>
        <w:t xml:space="preserve">Contributed to a multi-year SAP upgrade project spanning two years; led application testing and incident tracking to ensure smooth cutover.</w:t>
      </w:r>
    </w:p>
    <w:p>
      <w:pPr>
        <w:spacing w:before="160" w:after="0"/>
      </w:pPr>
    </w:p>
    <w:p>
      <w:pPr>
        <w:spacing w:before="0" w:after="60"/>
      </w:pPr>
      <w:r>
        <w:rPr>
          <w:rFonts w:ascii="Calibri" w:cs="Calibri" w:eastAsia="Calibri" w:hAnsi="Calibri"/>
          <w:b/>
          <w:bCs/>
          <w:color w:val="9A7A3A"/>
          <w:spacing w:val="80"/>
          <w:sz w:val="18"/>
          <w:szCs w:val="18"/>
        </w:rPr>
        <w:t xml:space="preserve">EDUCATION</w:t>
      </w:r>
    </w:p>
    <w:p>
      <w:pPr>
        <w:pBdr>
          <w:bottom w:val="single" w:color="D4C9A8" w:sz="4" w:space="1"/>
        </w:pBdr>
        <w:spacing w:before="0" w:after="0"/>
      </w:pPr>
    </w:p>
    <w:p>
      <w:pPr>
        <w:spacing w:before="60" w:after="0"/>
      </w:pPr>
    </w:p>
    <w:p>
      <w:pPr>
        <w:tabs>
          <w:tab w:val="right" w:pos="9026"/>
        </w:tabs>
        <w:spacing w:before="80" w:after="14"/>
      </w:pPr>
      <w:r>
        <w:rPr>
          <w:rFonts w:ascii="Calibri" w:cs="Calibri" w:eastAsia="Calibri" w:hAnsi="Calibri"/>
          <w:b/>
          <w:bCs/>
          <w:color w:val="1A1A18"/>
          <w:sz w:val="22"/>
          <w:szCs w:val="22"/>
        </w:rPr>
        <w:t xml:space="preserve">Executive MBA</w:t>
      </w:r>
      <w:r>
        <w:rPr>
          <w:rFonts w:ascii="Calibri" w:cs="Calibri" w:eastAsia="Calibri" w:hAnsi="Calibri"/>
          <w:color w:val="6A6058"/>
          <w:sz w:val="20"/>
          <w:szCs w:val="20"/>
        </w:rPr>
        <w:t xml:space="preserve">  ·  </w:t>
      </w:r>
      <w:r>
        <w:rPr>
          <w:rFonts w:ascii="Calibri" w:cs="Calibri" w:eastAsia="Calibri" w:hAnsi="Calibri"/>
          <w:color w:val="9A7A3A"/>
          <w:sz w:val="20"/>
          <w:szCs w:val="20"/>
        </w:rPr>
        <w:t xml:space="preserve">London Business School</w:t>
      </w:r>
      <w:r>
        <w:rPr>
          <w:rFonts w:ascii="Calibri" w:cs="Calibri" w:eastAsia="Calibri" w:hAnsi="Calibri"/>
          <w:color w:val="6A6058"/>
          <w:sz w:val="18"/>
          <w:szCs w:val="18"/>
        </w:rPr>
        <w:t xml:space="preserve">  ·  London, UK</w:t>
      </w:r>
      <w:r>
        <w:rPr>
          <w:rFonts w:ascii="Calibri" w:cs="Calibri" w:eastAsia="Calibri" w:hAnsi="Calibri"/>
          <w:sz w:val="18"/>
          <w:szCs w:val="18"/>
        </w:rPr>
        <w:t xml:space="preserve">	</w:t>
      </w:r>
      <w:r>
        <w:rPr>
          <w:rFonts w:ascii="Calibri" w:cs="Calibri" w:eastAsia="Calibri" w:hAnsi="Calibri"/>
          <w:i/>
          <w:iCs/>
          <w:color w:val="6A6058"/>
          <w:sz w:val="18"/>
          <w:szCs w:val="18"/>
        </w:rPr>
        <w:t xml:space="preserve">2023 – 2025</w:t>
      </w:r>
    </w:p>
    <w:p>
      <w:pPr>
        <w:spacing w:before="20" w:after="60"/>
      </w:pPr>
      <w:r>
        <w:rPr>
          <w:rFonts w:ascii="Calibri" w:cs="Calibri" w:eastAsia="Calibri" w:hAnsi="Calibri"/>
          <w:i/>
          <w:iCs/>
          <w:color w:val="6A6058"/>
          <w:sz w:val="18"/>
          <w:szCs w:val="18"/>
        </w:rPr>
        <w:t xml:space="preserve">Coursework: Operations Management · Corporate Turnarounds · Private Equity &amp; VC · Negotiations &amp; Bargaining · Strategies for Growth &amp; Transformation · Balanced Scorecard · Paths to Power</w:t>
      </w:r>
    </w:p>
    <w:p>
      <w:pPr>
        <w:tabs>
          <w:tab w:val="right" w:pos="9026"/>
        </w:tabs>
        <w:spacing w:before="80" w:after="14"/>
      </w:pPr>
      <w:r>
        <w:rPr>
          <w:rFonts w:ascii="Calibri" w:cs="Calibri" w:eastAsia="Calibri" w:hAnsi="Calibri"/>
          <w:b/>
          <w:bCs/>
          <w:color w:val="1A1A18"/>
          <w:sz w:val="22"/>
          <w:szCs w:val="22"/>
        </w:rPr>
        <w:t xml:space="preserve">B.S. Business Administration &amp; Marketing</w:t>
      </w:r>
      <w:r>
        <w:rPr>
          <w:rFonts w:ascii="Calibri" w:cs="Calibri" w:eastAsia="Calibri" w:hAnsi="Calibri"/>
          <w:color w:val="6A6058"/>
          <w:sz w:val="20"/>
          <w:szCs w:val="20"/>
        </w:rPr>
        <w:t xml:space="preserve">  ·  </w:t>
      </w:r>
      <w:r>
        <w:rPr>
          <w:rFonts w:ascii="Calibri" w:cs="Calibri" w:eastAsia="Calibri" w:hAnsi="Calibri"/>
          <w:color w:val="9A7A3A"/>
          <w:sz w:val="20"/>
          <w:szCs w:val="20"/>
        </w:rPr>
        <w:t xml:space="preserve">Florida Institute of Technology</w:t>
      </w:r>
      <w:r>
        <w:rPr>
          <w:rFonts w:ascii="Calibri" w:cs="Calibri" w:eastAsia="Calibri" w:hAnsi="Calibri"/>
          <w:color w:val="6A6058"/>
          <w:sz w:val="18"/>
          <w:szCs w:val="18"/>
        </w:rPr>
        <w:t xml:space="preserve">  ·  Melbourne, FL</w:t>
      </w:r>
      <w:r>
        <w:rPr>
          <w:rFonts w:ascii="Calibri" w:cs="Calibri" w:eastAsia="Calibri" w:hAnsi="Calibri"/>
          <w:sz w:val="18"/>
          <w:szCs w:val="18"/>
        </w:rPr>
        <w:t xml:space="preserve">	</w:t>
      </w:r>
      <w:r>
        <w:rPr>
          <w:rFonts w:ascii="Calibri" w:cs="Calibri" w:eastAsia="Calibri" w:hAnsi="Calibri"/>
          <w:i/>
          <w:iCs/>
          <w:color w:val="6A6058"/>
          <w:sz w:val="18"/>
          <w:szCs w:val="18"/>
        </w:rPr>
        <w:t xml:space="preserve">2009 – 2011</w:t>
      </w:r>
    </w:p>
    <w:p>
      <w:pPr>
        <w:spacing w:before="160" w:after="0"/>
      </w:pPr>
    </w:p>
    <w:p>
      <w:pPr>
        <w:spacing w:before="0" w:after="60"/>
      </w:pPr>
      <w:r>
        <w:rPr>
          <w:rFonts w:ascii="Calibri" w:cs="Calibri" w:eastAsia="Calibri" w:hAnsi="Calibri"/>
          <w:b/>
          <w:bCs/>
          <w:color w:val="9A7A3A"/>
          <w:spacing w:val="80"/>
          <w:sz w:val="18"/>
          <w:szCs w:val="18"/>
        </w:rPr>
        <w:t xml:space="preserve">SPEAKING &amp; MEDIA</w:t>
      </w:r>
    </w:p>
    <w:p>
      <w:pPr>
        <w:pBdr>
          <w:bottom w:val="single" w:color="D4C9A8" w:sz="4" w:space="1"/>
        </w:pBdr>
        <w:spacing w:before="0" w:after="0"/>
      </w:pP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2160"/>
        <w:gridCol w:w="1800"/>
      </w:tblGrid>
      <w:tr>
        <w:tc>
          <w:tcPr>
            <w:tcW w:type="dxa" w:w="5400"/>
            <w:tcBorders>
              <w:top w:val="none" w:color="FFFFFF" w:sz="0"/>
              <w:left w:val="none" w:color="FFFFFF" w:sz="0"/>
              <w:bottom w:val="none" w:color="FFFFFF" w:sz="0"/>
              <w:right w:val="none" w:color="FFFFFF" w:sz="0"/>
            </w:tcBorders>
            <w:shd w:fill="F5F2EC" w:val="clear"/>
            <w:tcMar>
              <w:top w:type="dxa" w:w="60"/>
              <w:left w:type="dxa" w:w="80"/>
              <w:bottom w:type="dxa" w:w="60"/>
              <w:right w:type="dxa" w:w="80"/>
            </w:tcMar>
          </w:tcPr>
          <w:p>
            <w:r>
              <w:rPr>
                <w:rFonts w:ascii="Calibri" w:cs="Calibri" w:eastAsia="Calibri" w:hAnsi="Calibri"/>
                <w:b/>
                <w:bCs/>
                <w:color w:val="6A6058"/>
                <w:sz w:val="17"/>
                <w:szCs w:val="17"/>
              </w:rPr>
              <w:t xml:space="preserve">Appearance</w:t>
            </w:r>
          </w:p>
        </w:tc>
        <w:tc>
          <w:tcPr>
            <w:tcW w:type="dxa" w:w="2160"/>
            <w:tcBorders>
              <w:top w:val="none" w:color="FFFFFF" w:sz="0"/>
              <w:left w:val="none" w:color="FFFFFF" w:sz="0"/>
              <w:bottom w:val="none" w:color="FFFFFF" w:sz="0"/>
              <w:right w:val="none" w:color="FFFFFF" w:sz="0"/>
            </w:tcBorders>
            <w:shd w:fill="F5F2EC" w:val="clear"/>
            <w:tcMar>
              <w:top w:type="dxa" w:w="60"/>
              <w:left w:type="dxa" w:w="80"/>
              <w:bottom w:type="dxa" w:w="60"/>
              <w:right w:type="dxa" w:w="80"/>
            </w:tcMar>
          </w:tcPr>
          <w:p>
            <w:r>
              <w:rPr>
                <w:rFonts w:ascii="Calibri" w:cs="Calibri" w:eastAsia="Calibri" w:hAnsi="Calibri"/>
                <w:b/>
                <w:bCs/>
                <w:color w:val="6A6058"/>
                <w:sz w:val="17"/>
                <w:szCs w:val="17"/>
              </w:rPr>
              <w:t xml:space="preserve">Format</w:t>
            </w:r>
          </w:p>
        </w:tc>
        <w:tc>
          <w:tcPr>
            <w:tcW w:type="dxa" w:w="1800"/>
            <w:tcBorders>
              <w:top w:val="none" w:color="FFFFFF" w:sz="0"/>
              <w:left w:val="none" w:color="FFFFFF" w:sz="0"/>
              <w:bottom w:val="none" w:color="FFFFFF" w:sz="0"/>
              <w:right w:val="none" w:color="FFFFFF" w:sz="0"/>
            </w:tcBorders>
            <w:shd w:fill="F5F2EC" w:val="clear"/>
            <w:tcMar>
              <w:top w:type="dxa" w:w="60"/>
              <w:left w:type="dxa" w:w="80"/>
              <w:bottom w:type="dxa" w:w="60"/>
              <w:right w:type="dxa" w:w="80"/>
            </w:tcMar>
          </w:tcPr>
          <w:p>
            <w:r>
              <w:rPr>
                <w:rFonts w:ascii="Calibri" w:cs="Calibri" w:eastAsia="Calibri" w:hAnsi="Calibri"/>
                <w:b/>
                <w:bCs/>
                <w:color w:val="6A6058"/>
                <w:sz w:val="17"/>
                <w:szCs w:val="17"/>
              </w:rPr>
              <w:t xml:space="preserve">Date</w:t>
            </w:r>
          </w:p>
        </w:tc>
      </w:tr>
      <w:tr>
        <w:tc>
          <w:tcPr>
            <w:tcW w:type="dxa" w:w="5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1A1A18"/>
                <w:sz w:val="18"/>
                <w:szCs w:val="18"/>
              </w:rPr>
              <w:t xml:space="preserve">Deconstructor of Fun Podcast — Ep. 271: Gaming in the Middle East: Inside Abu Dhabi's Big Bet on Games</w:t>
            </w:r>
          </w:p>
        </w:tc>
        <w:tc>
          <w:tcPr>
            <w:tcW w:type="dxa" w:w="216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6A6058"/>
                <w:sz w:val="18"/>
                <w:szCs w:val="18"/>
              </w:rPr>
              <w:t xml:space="preserve">Podcast (63 min)</w:t>
            </w:r>
          </w:p>
        </w:tc>
        <w:tc>
          <w:tcPr>
            <w:tcW w:type="dxa" w:w="18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6A6058"/>
                <w:sz w:val="18"/>
                <w:szCs w:val="18"/>
              </w:rPr>
              <w:t xml:space="preserve">Feb 2025</w:t>
            </w:r>
          </w:p>
        </w:tc>
      </w:tr>
      <w:tr>
        <w:tc>
          <w:tcPr>
            <w:tcW w:type="dxa" w:w="5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1A1A18"/>
                <w:sz w:val="18"/>
                <w:szCs w:val="18"/>
              </w:rPr>
              <w:t xml:space="preserve">Arab News Japan — MEFCC 2025 Interview: 150+ Jobs, 100+ Companies</w:t>
            </w:r>
          </w:p>
        </w:tc>
        <w:tc>
          <w:tcPr>
            <w:tcW w:type="dxa" w:w="216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6A6058"/>
                <w:sz w:val="18"/>
                <w:szCs w:val="18"/>
              </w:rPr>
              <w:t xml:space="preserve">Press Interview</w:t>
            </w:r>
          </w:p>
        </w:tc>
        <w:tc>
          <w:tcPr>
            <w:tcW w:type="dxa" w:w="18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6A6058"/>
                <w:sz w:val="18"/>
                <w:szCs w:val="18"/>
              </w:rPr>
              <w:t xml:space="preserve">Apr 2025</w:t>
            </w:r>
          </w:p>
        </w:tc>
      </w:tr>
      <w:tr>
        <w:tc>
          <w:tcPr>
            <w:tcW w:type="dxa" w:w="5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1A1A18"/>
                <w:sz w:val="18"/>
                <w:szCs w:val="18"/>
              </w:rPr>
              <w:t xml:space="preserve">Tokyo Game Show — Abu Dhabi Gaming Showcase, 4 UAE Studios</w:t>
            </w:r>
          </w:p>
        </w:tc>
        <w:tc>
          <w:tcPr>
            <w:tcW w:type="dxa" w:w="216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6A6058"/>
                <w:sz w:val="18"/>
                <w:szCs w:val="18"/>
              </w:rPr>
              <w:t xml:space="preserve">Conference</w:t>
            </w:r>
          </w:p>
        </w:tc>
        <w:tc>
          <w:tcPr>
            <w:tcW w:type="dxa" w:w="18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6A6058"/>
                <w:sz w:val="18"/>
                <w:szCs w:val="18"/>
              </w:rPr>
              <w:t xml:space="preserve">Sep 2024</w:t>
            </w:r>
          </w:p>
        </w:tc>
      </w:tr>
      <w:tr>
        <w:tc>
          <w:tcPr>
            <w:tcW w:type="dxa" w:w="5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1A1A18"/>
                <w:sz w:val="18"/>
                <w:szCs w:val="18"/>
              </w:rPr>
              <w:t xml:space="preserve">Games for Change Middle East Summit — Panel: Impact Metrics Unleashed</w:t>
            </w:r>
          </w:p>
        </w:tc>
        <w:tc>
          <w:tcPr>
            <w:tcW w:type="dxa" w:w="216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6A6058"/>
                <w:sz w:val="18"/>
                <w:szCs w:val="18"/>
              </w:rPr>
              <w:t xml:space="preserve">Panel</w:t>
            </w:r>
          </w:p>
        </w:tc>
        <w:tc>
          <w:tcPr>
            <w:tcW w:type="dxa" w:w="18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6A6058"/>
                <w:sz w:val="18"/>
                <w:szCs w:val="18"/>
              </w:rPr>
              <w:t xml:space="preserve">Dec 2023</w:t>
            </w:r>
          </w:p>
        </w:tc>
      </w:tr>
      <w:tr>
        <w:tc>
          <w:tcPr>
            <w:tcW w:type="dxa" w:w="5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1A1A18"/>
                <w:sz w:val="18"/>
                <w:szCs w:val="18"/>
              </w:rPr>
              <w:t xml:space="preserve">42 Abu Dhabi Grand Opening Keynote — in front of HH Sheikh Khaled bin Mohamed bin Zayed</w:t>
            </w:r>
          </w:p>
        </w:tc>
        <w:tc>
          <w:tcPr>
            <w:tcW w:type="dxa" w:w="216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6A6058"/>
                <w:sz w:val="18"/>
                <w:szCs w:val="18"/>
              </w:rPr>
              <w:t xml:space="preserve">Keynote</w:t>
            </w:r>
          </w:p>
        </w:tc>
        <w:tc>
          <w:tcPr>
            <w:tcW w:type="dxa" w:w="18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6A6058"/>
                <w:sz w:val="18"/>
                <w:szCs w:val="18"/>
              </w:rPr>
              <w:t xml:space="preserve">2022</w:t>
            </w:r>
          </w:p>
        </w:tc>
      </w:tr>
      <w:tr>
        <w:tc>
          <w:tcPr>
            <w:tcW w:type="dxa" w:w="54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1A1A18"/>
                <w:sz w:val="18"/>
                <w:szCs w:val="18"/>
              </w:rPr>
              <w:t xml:space="preserve">Intel-Hosted Industry Keynote</w:t>
            </w:r>
          </w:p>
        </w:tc>
        <w:tc>
          <w:tcPr>
            <w:tcW w:type="dxa" w:w="216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6A6058"/>
                <w:sz w:val="18"/>
                <w:szCs w:val="18"/>
              </w:rPr>
              <w:t xml:space="preserve">Keynote</w:t>
            </w:r>
          </w:p>
        </w:tc>
        <w:tc>
          <w:tcPr>
            <w:tcW w:type="dxa" w:w="1800"/>
            <w:tcBorders>
              <w:top w:val="none" w:color="FFFFFF" w:sz="0"/>
              <w:left w:val="none" w:color="FFFFFF" w:sz="0"/>
              <w:bottom w:val="none" w:color="FFFFFF" w:sz="0"/>
              <w:right w:val="none" w:color="FFFFFF" w:sz="0"/>
            </w:tcBorders>
            <w:tcMar>
              <w:top w:type="dxa" w:w="50"/>
              <w:left w:type="dxa" w:w="80"/>
              <w:bottom w:type="dxa" w:w="50"/>
              <w:right w:type="dxa" w:w="80"/>
            </w:tcMar>
          </w:tcPr>
          <w:p>
            <w:r>
              <w:rPr>
                <w:rFonts w:ascii="Calibri" w:cs="Calibri" w:eastAsia="Calibri" w:hAnsi="Calibri"/>
                <w:color w:val="6A6058"/>
                <w:sz w:val="18"/>
                <w:szCs w:val="18"/>
              </w:rPr>
              <w:t xml:space="preserve">Abu Dhabi</w:t>
            </w:r>
          </w:p>
        </w:tc>
      </w:tr>
    </w:tbl>
    <w:p>
      <w:pPr>
        <w:spacing w:before="160" w:after="0"/>
      </w:pPr>
    </w:p>
    <w:p>
      <w:pPr>
        <w:spacing w:before="0" w:after="60"/>
      </w:pPr>
      <w:r>
        <w:rPr>
          <w:rFonts w:ascii="Calibri" w:cs="Calibri" w:eastAsia="Calibri" w:hAnsi="Calibri"/>
          <w:b/>
          <w:bCs/>
          <w:color w:val="9A7A3A"/>
          <w:spacing w:val="80"/>
          <w:sz w:val="18"/>
          <w:szCs w:val="18"/>
        </w:rPr>
        <w:t xml:space="preserve">LANGUAGES &amp; ADDITIONAL</w:t>
      </w:r>
    </w:p>
    <w:p>
      <w:pPr>
        <w:pBdr>
          <w:bottom w:val="single" w:color="D4C9A8" w:sz="4" w:space="1"/>
        </w:pBdr>
        <w:spacing w:before="0" w:after="0"/>
      </w:pPr>
    </w:p>
    <w:p>
      <w:pPr>
        <w:spacing w:before="60" w:after="0"/>
      </w:pPr>
    </w:p>
    <w:p>
      <w:pPr>
        <w:spacing w:before="0" w:after="40"/>
      </w:pPr>
      <w:r>
        <w:rPr>
          <w:rFonts w:ascii="Calibri" w:cs="Calibri" w:eastAsia="Calibri" w:hAnsi="Calibri"/>
          <w:b/>
          <w:bCs/>
          <w:color w:val="1A1A18"/>
          <w:sz w:val="19"/>
          <w:szCs w:val="19"/>
        </w:rPr>
        <w:t xml:space="preserve">Languages: </w:t>
      </w:r>
      <w:r>
        <w:rPr>
          <w:rFonts w:ascii="Calibri" w:cs="Calibri" w:eastAsia="Calibri" w:hAnsi="Calibri"/>
          <w:color w:val="1A1A18"/>
          <w:sz w:val="19"/>
          <w:szCs w:val="19"/>
        </w:rPr>
        <w:t xml:space="preserve">English (native)  ·  Brazilian Portuguese (native)</w:t>
      </w:r>
    </w:p>
    <w:p>
      <w:pPr>
        <w:spacing w:before="0" w:after="40"/>
      </w:pPr>
      <w:r>
        <w:rPr>
          <w:rFonts w:ascii="Calibri" w:cs="Calibri" w:eastAsia="Calibri" w:hAnsi="Calibri"/>
          <w:b/>
          <w:bCs/>
          <w:color w:val="1A1A18"/>
          <w:sz w:val="19"/>
          <w:szCs w:val="19"/>
        </w:rPr>
        <w:t xml:space="preserve">Website: </w:t>
      </w:r>
      <w:r>
        <w:rPr>
          <w:rFonts w:ascii="Calibri" w:cs="Calibri" w:eastAsia="Calibri" w:hAnsi="Calibri"/>
          <w:color w:val="1A1A18"/>
          <w:sz w:val="19"/>
          <w:szCs w:val="19"/>
        </w:rPr>
        <w:t xml:space="preserve">mullerhabig.com  |  full biography, press, media, and speaking history</w:t>
      </w:r>
    </w:p>
    <w:sectPr>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2026-03-10T15:26:03.683Z</dcterms:created>
  <dcterms:modified xsi:type="dcterms:W3CDTF">2026-03-10T15:26:03.684Z</dcterms:modified>
</cp:coreProperties>
</file>

<file path=docProps/custom.xml><?xml version="1.0" encoding="utf-8"?>
<Properties xmlns="http://schemas.openxmlformats.org/officeDocument/2006/custom-properties" xmlns:vt="http://schemas.openxmlformats.org/officeDocument/2006/docPropsVTypes"/>
</file>